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AE76EE">
        <w:rPr>
          <w:rFonts w:ascii="Arial" w:hAnsi="Arial" w:cs="Arial"/>
          <w:b/>
          <w:sz w:val="32"/>
          <w:szCs w:val="32"/>
          <w:lang w:eastAsia="zh-CN"/>
        </w:rPr>
        <w:t xml:space="preserve">КОНОВАЛОВСКОГО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5F4C4C">
        <w:rPr>
          <w:rFonts w:ascii="Arial" w:hAnsi="Arial" w:cs="Arial"/>
          <w:b/>
          <w:sz w:val="32"/>
          <w:szCs w:val="32"/>
          <w:lang w:eastAsia="zh-CN"/>
        </w:rPr>
        <w:t xml:space="preserve"> 27</w:t>
      </w:r>
      <w:r>
        <w:rPr>
          <w:rFonts w:ascii="Arial" w:hAnsi="Arial" w:cs="Arial"/>
          <w:b/>
          <w:sz w:val="32"/>
          <w:szCs w:val="32"/>
          <w:lang w:eastAsia="zh-CN"/>
        </w:rPr>
        <w:t>.10.</w:t>
      </w:r>
      <w:r w:rsidR="005F4C4C">
        <w:rPr>
          <w:rFonts w:ascii="Arial" w:hAnsi="Arial" w:cs="Arial"/>
          <w:b/>
          <w:sz w:val="32"/>
          <w:szCs w:val="32"/>
          <w:lang w:eastAsia="zh-CN"/>
        </w:rPr>
        <w:t>2015 ГОДА №9/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4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AE76EE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E31231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AE76EE">
        <w:rPr>
          <w:rFonts w:ascii="Arial" w:hAnsi="Arial" w:cs="Arial"/>
          <w:sz w:val="24"/>
          <w:szCs w:val="24"/>
          <w:lang w:eastAsia="zh-CN"/>
        </w:rPr>
        <w:t xml:space="preserve">Коноваловского </w:t>
      </w:r>
      <w:r w:rsidR="005F4C4C">
        <w:rPr>
          <w:rFonts w:ascii="Arial" w:hAnsi="Arial" w:cs="Arial"/>
          <w:sz w:val="24"/>
          <w:szCs w:val="24"/>
          <w:lang w:eastAsia="zh-CN"/>
        </w:rPr>
        <w:t>муниципального образования от 27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.10.2015 года №</w:t>
      </w:r>
      <w:r w:rsidR="005F4C4C">
        <w:rPr>
          <w:rFonts w:ascii="Arial" w:hAnsi="Arial" w:cs="Arial"/>
          <w:sz w:val="24"/>
          <w:szCs w:val="24"/>
          <w:lang w:eastAsia="zh-CN"/>
        </w:rPr>
        <w:t>9/4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76EE">
        <w:rPr>
          <w:rFonts w:ascii="Arial" w:hAnsi="Arial" w:cs="Arial"/>
          <w:sz w:val="24"/>
          <w:szCs w:val="24"/>
        </w:rPr>
        <w:t xml:space="preserve">Коноваловского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9B74D8">
        <w:rPr>
          <w:lang w:val="en-US"/>
        </w:rPr>
        <w:t>VII</w:t>
      </w:r>
      <w:r w:rsidR="009B74D8" w:rsidRPr="009B74D8">
        <w:t xml:space="preserve">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476E64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E31231" w:rsidP="00E3123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="009638D3">
        <w:rPr>
          <w:rFonts w:ascii="Courier New" w:hAnsi="Courier New" w:cs="Courier New"/>
        </w:rPr>
        <w:t xml:space="preserve"> от      г.</w:t>
      </w:r>
      <w:r w:rsidRPr="00E312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</w:p>
    <w:p w:rsidR="009638D3" w:rsidRDefault="009638D3" w:rsidP="00476E64">
      <w:pPr>
        <w:pStyle w:val="1"/>
      </w:pPr>
    </w:p>
    <w:p w:rsidR="00476E64" w:rsidRPr="00141872" w:rsidRDefault="00476E64" w:rsidP="00476E64">
      <w:pPr>
        <w:pStyle w:val="1"/>
      </w:pPr>
      <w:r w:rsidRPr="00141872">
        <w:t xml:space="preserve">Раздел </w:t>
      </w:r>
      <w:r w:rsidRPr="00141872">
        <w:rPr>
          <w:bCs/>
          <w:lang w:val="en-US"/>
        </w:rPr>
        <w:t>V</w:t>
      </w:r>
      <w:r w:rsidRPr="00141872">
        <w:rPr>
          <w:lang w:val="en-US"/>
        </w:rPr>
        <w:t>I</w:t>
      </w:r>
      <w:r w:rsidRPr="00141872">
        <w:t xml:space="preserve">I. Объекты автомобильного транспорта </w:t>
      </w:r>
    </w:p>
    <w:p w:rsidR="00476E64" w:rsidRPr="00141872" w:rsidRDefault="00476E64" w:rsidP="00476E64">
      <w:pPr>
        <w:pStyle w:val="1"/>
      </w:pPr>
      <w:bookmarkStart w:id="0" w:name="_Глава_5._Расчетные"/>
      <w:bookmarkEnd w:id="0"/>
      <w:r w:rsidRPr="00141872">
        <w:t xml:space="preserve">Глава 13.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</w:t>
      </w:r>
      <w:r>
        <w:rPr>
          <w:bCs/>
        </w:rPr>
        <w:t>Коноваловского</w:t>
      </w:r>
      <w:r w:rsidRPr="00141872">
        <w:rPr>
          <w:bCs/>
        </w:rPr>
        <w:t xml:space="preserve"> муниципального образования </w:t>
      </w:r>
      <w:r>
        <w:rPr>
          <w:bCs/>
        </w:rPr>
        <w:t>Балаганского</w:t>
      </w:r>
      <w:r w:rsidRPr="00141872">
        <w:rPr>
          <w:bCs/>
        </w:rPr>
        <w:t xml:space="preserve"> района</w:t>
      </w:r>
      <w:r w:rsidRPr="00141872">
        <w:t xml:space="preserve"> Иркутской области </w:t>
      </w:r>
    </w:p>
    <w:p w:rsidR="00476E64" w:rsidRPr="001428EC" w:rsidRDefault="00476E64" w:rsidP="00476E64">
      <w:pPr>
        <w:pStyle w:val="ConsPlusNormal0"/>
        <w:jc w:val="both"/>
        <w:rPr>
          <w:rFonts w:cs="Arial"/>
          <w:sz w:val="24"/>
          <w:szCs w:val="24"/>
        </w:rPr>
      </w:pPr>
      <w:r w:rsidRPr="001428EC">
        <w:rPr>
          <w:rFonts w:cs="Arial"/>
          <w:sz w:val="24"/>
          <w:szCs w:val="24"/>
        </w:rPr>
        <w:t>91. Автомобильными дорогами общего пользования местного значения муниципального образования являются автомобильные дороги общего пользования местного значения поселений. Перечень автомобильных дорог общего пользования местного значения поселения утверждается органом местного самоуправления.</w:t>
      </w:r>
    </w:p>
    <w:p w:rsidR="00476E64" w:rsidRPr="001428EC" w:rsidRDefault="00476E64" w:rsidP="00476E64">
      <w:pPr>
        <w:pStyle w:val="ConsPlusNormal0"/>
        <w:jc w:val="both"/>
        <w:rPr>
          <w:rFonts w:cs="Arial"/>
          <w:sz w:val="24"/>
          <w:szCs w:val="24"/>
        </w:rPr>
      </w:pPr>
      <w:r w:rsidRPr="001428EC">
        <w:rPr>
          <w:rFonts w:cs="Arial"/>
          <w:sz w:val="24"/>
          <w:szCs w:val="24"/>
        </w:rPr>
        <w:t xml:space="preserve">92. К собственности муниципального образования относятся автомобильные дороги местного значения поселений.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93. Расчетные показатели плотности сети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определены в таблице </w:t>
      </w:r>
      <w:proofErr w:type="gramStart"/>
      <w:r w:rsidRPr="001428EC">
        <w:rPr>
          <w:rFonts w:ascii="Arial" w:hAnsi="Arial" w:cs="Arial"/>
          <w:color w:val="auto"/>
        </w:rPr>
        <w:t>14 .</w:t>
      </w:r>
      <w:proofErr w:type="gramEnd"/>
      <w:r w:rsidRPr="001428EC">
        <w:rPr>
          <w:rFonts w:ascii="Arial" w:hAnsi="Arial" w:cs="Arial"/>
          <w:color w:val="auto"/>
        </w:rPr>
        <w:t xml:space="preserve">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94. Плотность сети автомобильных дорог – это отно</w:t>
      </w:r>
      <w:r w:rsidR="005F4C4C">
        <w:rPr>
          <w:rFonts w:ascii="Arial" w:hAnsi="Arial" w:cs="Arial"/>
          <w:color w:val="auto"/>
        </w:rPr>
        <w:t>шение протяженности сети автомо</w:t>
      </w:r>
      <w:r w:rsidRPr="001428EC">
        <w:rPr>
          <w:rFonts w:ascii="Arial" w:hAnsi="Arial" w:cs="Arial"/>
          <w:color w:val="auto"/>
        </w:rPr>
        <w:t xml:space="preserve">бильных дорог общего пользования, проходящих по территории, к площади территории.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 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Расчетные показатели плотности сети автомобильных дорог общего пользования местного значения Коноваловского муниципального образования приведены в таблице 14.</w:t>
      </w:r>
    </w:p>
    <w:p w:rsidR="00476E64" w:rsidRPr="001428EC" w:rsidRDefault="00476E64" w:rsidP="00476E64">
      <w:pPr>
        <w:pStyle w:val="Default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Таблица 14 </w:t>
      </w:r>
    </w:p>
    <w:tbl>
      <w:tblPr>
        <w:tblW w:w="9069" w:type="dxa"/>
        <w:tblInd w:w="481" w:type="dxa"/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1698"/>
        <w:gridCol w:w="1701"/>
        <w:gridCol w:w="1701"/>
      </w:tblGrid>
      <w:tr w:rsidR="00476E64" w:rsidRPr="00141872" w:rsidTr="008D3694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6E64" w:rsidRPr="001428EC" w:rsidRDefault="00476E64" w:rsidP="008D3694">
            <w:pPr>
              <w:pStyle w:val="Default"/>
              <w:tabs>
                <w:tab w:val="left" w:pos="1799"/>
              </w:tabs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:rsidR="00476E64" w:rsidRPr="001428EC" w:rsidRDefault="00476E64" w:rsidP="008D3694">
            <w:pPr>
              <w:pStyle w:val="Default"/>
              <w:tabs>
                <w:tab w:val="left" w:pos="1799"/>
              </w:tabs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км/км2</w:t>
            </w:r>
          </w:p>
        </w:tc>
      </w:tr>
      <w:tr w:rsidR="00476E64" w:rsidRPr="00141872" w:rsidTr="008D3694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64" w:rsidRPr="001428EC" w:rsidRDefault="00476E64" w:rsidP="008D3694">
            <w:pPr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64" w:rsidRPr="001428EC" w:rsidRDefault="00476E64" w:rsidP="008D3694">
            <w:pPr>
              <w:rPr>
                <w:rFonts w:ascii="Courier New" w:hAnsi="Courier New" w:cs="Courier New"/>
              </w:rPr>
            </w:pPr>
            <w:proofErr w:type="spellStart"/>
            <w:r w:rsidRPr="001428EC">
              <w:rPr>
                <w:rFonts w:ascii="Courier New" w:hAnsi="Courier New" w:cs="Courier New"/>
                <w:bCs/>
              </w:rPr>
              <w:t>Коноваловское</w:t>
            </w:r>
            <w:proofErr w:type="spellEnd"/>
            <w:r w:rsidRPr="001428EC">
              <w:rPr>
                <w:rFonts w:ascii="Courier New" w:hAnsi="Courier New" w:cs="Courier New"/>
              </w:rPr>
              <w:t xml:space="preserve">  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9,5</w:t>
            </w:r>
          </w:p>
        </w:tc>
      </w:tr>
      <w:tr w:rsidR="00476E64" w:rsidRPr="00141872" w:rsidTr="008D3694">
        <w:trPr>
          <w:trHeight w:val="145"/>
        </w:trPr>
        <w:tc>
          <w:tcPr>
            <w:tcW w:w="675" w:type="dxa"/>
            <w:tcBorders>
              <w:left w:val="nil"/>
              <w:bottom w:val="nil"/>
            </w:tcBorders>
          </w:tcPr>
          <w:p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476E64" w:rsidRPr="00141872" w:rsidRDefault="00476E64" w:rsidP="008D36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95. Расчетные параметры улиц и дорог следует принимать по таблице 15. </w:t>
      </w:r>
    </w:p>
    <w:p w:rsidR="00476E64" w:rsidRPr="00141872" w:rsidRDefault="00476E64" w:rsidP="00476E64">
      <w:pPr>
        <w:pStyle w:val="Default"/>
        <w:jc w:val="right"/>
        <w:rPr>
          <w:bCs/>
          <w:color w:val="auto"/>
        </w:rPr>
      </w:pPr>
      <w:r w:rsidRPr="001428EC">
        <w:rPr>
          <w:rFonts w:ascii="Arial" w:hAnsi="Arial" w:cs="Arial"/>
          <w:bCs/>
          <w:color w:val="auto"/>
        </w:rPr>
        <w:t>Таблица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871"/>
        <w:gridCol w:w="1004"/>
        <w:gridCol w:w="1055"/>
        <w:gridCol w:w="848"/>
        <w:gridCol w:w="1252"/>
      </w:tblGrid>
      <w:tr w:rsidR="00476E64" w:rsidRPr="001428EC" w:rsidTr="008D3694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EAF1DD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EAF1DD"/>
            <w:textDirection w:val="btLr"/>
          </w:tcPr>
          <w:p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:rsidR="00476E64" w:rsidRPr="001428EC" w:rsidRDefault="00476E64" w:rsidP="008D3694">
            <w:pPr>
              <w:pStyle w:val="a3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Поселковая дорога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Главная улица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2-3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Улица в жилой застройке: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 xml:space="preserve">Связь внутри жилых территорий и с главной улицей по </w:t>
            </w:r>
            <w:r w:rsidRPr="001428EC">
              <w:rPr>
                <w:rFonts w:ascii="Courier New" w:hAnsi="Courier New" w:cs="Courier New"/>
                <w:sz w:val="22"/>
                <w:szCs w:val="22"/>
              </w:rPr>
              <w:lastRenderedPageBreak/>
              <w:t>направлениям с интенсивным движением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1,0-1,5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lastRenderedPageBreak/>
              <w:t>второстепенная (переулок)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2,75-3,0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0-1,0</w:t>
            </w:r>
          </w:p>
        </w:tc>
      </w:tr>
      <w:tr w:rsidR="00476E64" w:rsidRPr="001428EC" w:rsidTr="008D3694">
        <w:tc>
          <w:tcPr>
            <w:tcW w:w="1701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076" w:type="dxa"/>
          </w:tcPr>
          <w:p w:rsidR="00476E64" w:rsidRPr="001428EC" w:rsidRDefault="00476E64" w:rsidP="008D369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28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vAlign w:val="center"/>
          </w:tcPr>
          <w:p w:rsidR="00476E64" w:rsidRPr="001428EC" w:rsidRDefault="00476E64" w:rsidP="008D369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76E64" w:rsidRPr="00141872" w:rsidRDefault="00476E64" w:rsidP="00476E64">
      <w:pPr>
        <w:pStyle w:val="Default"/>
        <w:spacing w:line="240" w:lineRule="exact"/>
        <w:jc w:val="both"/>
        <w:rPr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"пик" не более 0,3 </w:t>
      </w:r>
      <w:proofErr w:type="gramStart"/>
      <w:r w:rsidRPr="001428EC">
        <w:rPr>
          <w:rFonts w:ascii="Arial" w:hAnsi="Arial" w:cs="Arial"/>
          <w:color w:val="auto"/>
        </w:rPr>
        <w:t>чел</w:t>
      </w:r>
      <w:proofErr w:type="gramEnd"/>
      <w:r w:rsidRPr="001428EC">
        <w:rPr>
          <w:rFonts w:ascii="Arial" w:hAnsi="Arial" w:cs="Arial"/>
          <w:color w:val="auto"/>
        </w:rPr>
        <w:t xml:space="preserve">/м2; на </w:t>
      </w:r>
      <w:proofErr w:type="spellStart"/>
      <w:r w:rsidRPr="001428EC">
        <w:rPr>
          <w:rFonts w:ascii="Arial" w:hAnsi="Arial" w:cs="Arial"/>
          <w:color w:val="auto"/>
        </w:rPr>
        <w:t>предзаводских</w:t>
      </w:r>
      <w:proofErr w:type="spellEnd"/>
      <w:r w:rsidRPr="001428EC">
        <w:rPr>
          <w:rFonts w:ascii="Arial" w:hAnsi="Arial" w:cs="Arial"/>
          <w:color w:val="auto"/>
        </w:rPr>
        <w:t xml:space="preserve"> площадях, у спортивно-зрелищных учреждений, кинотеатров, вокзалов — 0,8 чел/м2.</w:t>
      </w:r>
    </w:p>
    <w:p w:rsidR="00476E64" w:rsidRPr="001428EC" w:rsidRDefault="00476E64" w:rsidP="00476E64">
      <w:pPr>
        <w:pStyle w:val="1"/>
      </w:pPr>
      <w:bookmarkStart w:id="1" w:name="_Глава_14._Расчетные"/>
      <w:bookmarkEnd w:id="1"/>
      <w:r w:rsidRPr="001428EC">
        <w:t xml:space="preserve">Глава 14.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r w:rsidRPr="001428EC">
        <w:rPr>
          <w:bCs/>
        </w:rPr>
        <w:t>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96. 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</w:t>
      </w:r>
      <w:proofErr w:type="spellStart"/>
      <w:proofErr w:type="gramStart"/>
      <w:r w:rsidRPr="001428EC">
        <w:rPr>
          <w:rFonts w:ascii="Arial" w:hAnsi="Arial" w:cs="Arial"/>
          <w:color w:val="auto"/>
        </w:rPr>
        <w:t>предусматри-ваются</w:t>
      </w:r>
      <w:proofErr w:type="spellEnd"/>
      <w:proofErr w:type="gramEnd"/>
      <w:r w:rsidRPr="001428EC">
        <w:rPr>
          <w:rFonts w:ascii="Arial" w:hAnsi="Arial" w:cs="Arial"/>
          <w:color w:val="auto"/>
        </w:rPr>
        <w:t xml:space="preserve"> на стадии разработки проектной документации автомобильной дороги.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97.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 </w:t>
      </w:r>
    </w:p>
    <w:p w:rsidR="00476E64" w:rsidRPr="001428EC" w:rsidRDefault="00476E64" w:rsidP="00476E64">
      <w:pPr>
        <w:pStyle w:val="1"/>
      </w:pPr>
      <w:bookmarkStart w:id="2" w:name="_Глава_7._Расчетные"/>
      <w:bookmarkStart w:id="3" w:name="_Глава_15._Расчетные"/>
      <w:bookmarkEnd w:id="2"/>
      <w:bookmarkEnd w:id="3"/>
      <w:r w:rsidRPr="001428EC">
        <w:t xml:space="preserve">Глава 15.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</w:t>
      </w:r>
      <w:proofErr w:type="gramStart"/>
      <w:r w:rsidRPr="001428EC">
        <w:t xml:space="preserve">населения  </w:t>
      </w:r>
      <w:r w:rsidRPr="001428EC">
        <w:rPr>
          <w:bCs/>
        </w:rPr>
        <w:t>Коноваловского</w:t>
      </w:r>
      <w:proofErr w:type="gramEnd"/>
      <w:r w:rsidRPr="001428EC">
        <w:rPr>
          <w:bCs/>
        </w:rPr>
        <w:t xml:space="preserve"> муниципального образования Балаганского района</w:t>
      </w:r>
      <w:r w:rsidRPr="001428EC">
        <w:t xml:space="preserve"> Иркутской области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98. 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428EC">
        <w:rPr>
          <w:rFonts w:ascii="Arial" w:hAnsi="Arial" w:cs="Arial"/>
          <w:color w:val="auto"/>
        </w:rPr>
        <w:t>шумозащитные</w:t>
      </w:r>
      <w:proofErr w:type="spellEnd"/>
      <w:r w:rsidRPr="001428EC">
        <w:rPr>
          <w:rFonts w:ascii="Arial" w:hAnsi="Arial" w:cs="Arial"/>
          <w:color w:val="auto"/>
        </w:rPr>
        <w:t xml:space="preserve">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99. Расчетные показатели минимально допустимого уровня обеспеченности защитными дорожными сооружениями и их территориальная доступность не нормируется. </w:t>
      </w:r>
    </w:p>
    <w:p w:rsidR="00476E64" w:rsidRPr="001428EC" w:rsidRDefault="00476E64" w:rsidP="00476E64">
      <w:pPr>
        <w:pStyle w:val="Default"/>
        <w:rPr>
          <w:rFonts w:ascii="Arial" w:hAnsi="Arial" w:cs="Arial"/>
          <w:color w:val="auto"/>
        </w:rPr>
      </w:pPr>
      <w:bookmarkStart w:id="4" w:name="_Глава_8._"/>
      <w:bookmarkStart w:id="5" w:name="_Глава_16._"/>
      <w:bookmarkEnd w:id="4"/>
      <w:bookmarkEnd w:id="5"/>
    </w:p>
    <w:p w:rsidR="00476E64" w:rsidRPr="001428EC" w:rsidRDefault="00476E64" w:rsidP="00476E64">
      <w:pPr>
        <w:pStyle w:val="1"/>
      </w:pPr>
      <w:bookmarkStart w:id="6" w:name="_Глава_9._Расчетные"/>
      <w:bookmarkStart w:id="7" w:name="_Глава_17._Расчетные"/>
      <w:bookmarkStart w:id="8" w:name="_Глава_16._Расчетные"/>
      <w:bookmarkEnd w:id="6"/>
      <w:bookmarkEnd w:id="7"/>
      <w:bookmarkEnd w:id="8"/>
      <w:r w:rsidRPr="001428EC">
        <w:t xml:space="preserve">Глава 16. Расчетные показатели минимально допустимого уровня обеспеченности и максимально допустимого уровня территориальной доступности </w:t>
      </w:r>
      <w:r w:rsidRPr="001428EC">
        <w:lastRenderedPageBreak/>
        <w:t>элементов обустройства автомобильных дорог для населения</w:t>
      </w:r>
      <w:r w:rsidRPr="001428EC">
        <w:rPr>
          <w:bCs/>
        </w:rPr>
        <w:t xml:space="preserve"> 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100.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определены в таблице 16.             </w:t>
      </w:r>
    </w:p>
    <w:p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8"/>
        <w:gridCol w:w="1100"/>
        <w:gridCol w:w="1025"/>
        <w:gridCol w:w="1168"/>
        <w:gridCol w:w="1242"/>
      </w:tblGrid>
      <w:tr w:rsidR="00476E64" w:rsidRPr="00141872" w:rsidTr="008D3694">
        <w:trPr>
          <w:trHeight w:val="271"/>
        </w:trPr>
        <w:tc>
          <w:tcPr>
            <w:tcW w:w="3369" w:type="dxa"/>
            <w:vMerge w:val="restart"/>
            <w:shd w:val="clear" w:color="auto" w:fill="EAF1DD"/>
            <w:vAlign w:val="center"/>
          </w:tcPr>
          <w:p w:rsidR="00476E64" w:rsidRPr="001428EC" w:rsidRDefault="00476E64" w:rsidP="008D3694">
            <w:pPr>
              <w:pStyle w:val="Default"/>
              <w:ind w:left="284" w:hanging="284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 обустройства автомобильных дорог</w:t>
            </w:r>
          </w:p>
        </w:tc>
        <w:tc>
          <w:tcPr>
            <w:tcW w:w="5703" w:type="dxa"/>
            <w:gridSpan w:val="5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 участков дорог, км,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при категории дорог</w:t>
            </w:r>
          </w:p>
        </w:tc>
      </w:tr>
      <w:tr w:rsidR="00476E64" w:rsidRPr="00141872" w:rsidTr="008D3694">
        <w:trPr>
          <w:trHeight w:val="175"/>
        </w:trPr>
        <w:tc>
          <w:tcPr>
            <w:tcW w:w="3369" w:type="dxa"/>
            <w:vMerge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476E64" w:rsidRPr="00141872" w:rsidTr="008D3694">
        <w:trPr>
          <w:trHeight w:val="398"/>
        </w:trPr>
        <w:tc>
          <w:tcPr>
            <w:tcW w:w="3369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остановки; </w:t>
            </w:r>
          </w:p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 в густонаселенной местности </w:t>
            </w:r>
          </w:p>
        </w:tc>
        <w:tc>
          <w:tcPr>
            <w:tcW w:w="3293" w:type="dxa"/>
            <w:gridSpan w:val="3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476E64" w:rsidRPr="00141872" w:rsidTr="008D3694">
        <w:trPr>
          <w:trHeight w:val="145"/>
        </w:trPr>
        <w:tc>
          <w:tcPr>
            <w:tcW w:w="3369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476E64" w:rsidRPr="00141872" w:rsidTr="008D3694">
        <w:trPr>
          <w:trHeight w:val="272"/>
        </w:trPr>
        <w:tc>
          <w:tcPr>
            <w:tcW w:w="3369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Пункт охраны больших мостов </w:t>
            </w:r>
          </w:p>
        </w:tc>
        <w:tc>
          <w:tcPr>
            <w:tcW w:w="5703" w:type="dxa"/>
            <w:gridSpan w:val="5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На мостах длиной более 300 м</w:t>
            </w:r>
          </w:p>
        </w:tc>
      </w:tr>
    </w:tbl>
    <w:p w:rsidR="00476E64" w:rsidRPr="00CD2ED5" w:rsidRDefault="00476E64" w:rsidP="00476E64">
      <w:pPr>
        <w:pStyle w:val="Default"/>
        <w:jc w:val="both"/>
        <w:rPr>
          <w:b/>
          <w:bCs/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101. 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102. Объекты, предназначенные для освещения автомобильных дорог, следует </w:t>
      </w:r>
      <w:proofErr w:type="spellStart"/>
      <w:r w:rsidRPr="001428EC">
        <w:rPr>
          <w:rFonts w:ascii="Arial" w:hAnsi="Arial" w:cs="Arial"/>
          <w:color w:val="auto"/>
        </w:rPr>
        <w:t>предусмат-ривать</w:t>
      </w:r>
      <w:proofErr w:type="spellEnd"/>
      <w:r w:rsidRPr="001428EC">
        <w:rPr>
          <w:rFonts w:ascii="Arial" w:hAnsi="Arial" w:cs="Arial"/>
          <w:color w:val="auto"/>
        </w:rPr>
        <w:t xml:space="preserve"> на участках в пределах населенных пунктов, а при наличии возможности </w:t>
      </w:r>
      <w:proofErr w:type="spellStart"/>
      <w:r w:rsidRPr="001428EC">
        <w:rPr>
          <w:rFonts w:ascii="Arial" w:hAnsi="Arial" w:cs="Arial"/>
          <w:color w:val="auto"/>
        </w:rPr>
        <w:t>исполь-зования</w:t>
      </w:r>
      <w:proofErr w:type="spellEnd"/>
      <w:r w:rsidRPr="001428EC">
        <w:rPr>
          <w:rFonts w:ascii="Arial" w:hAnsi="Arial" w:cs="Arial"/>
          <w:color w:val="auto"/>
        </w:rPr>
        <w:t xml:space="preserve">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103. Остановочные и посадочные площадки и павильоны для пассажиров следует </w:t>
      </w:r>
      <w:proofErr w:type="spellStart"/>
      <w:proofErr w:type="gramStart"/>
      <w:r w:rsidRPr="001428EC">
        <w:rPr>
          <w:rFonts w:ascii="Arial" w:hAnsi="Arial" w:cs="Arial"/>
          <w:color w:val="auto"/>
        </w:rPr>
        <w:t>преду</w:t>
      </w:r>
      <w:proofErr w:type="spellEnd"/>
      <w:r w:rsidRPr="001428EC">
        <w:rPr>
          <w:rFonts w:ascii="Arial" w:hAnsi="Arial" w:cs="Arial"/>
          <w:color w:val="auto"/>
        </w:rPr>
        <w:t>-сматривать</w:t>
      </w:r>
      <w:proofErr w:type="gramEnd"/>
      <w:r w:rsidRPr="001428EC">
        <w:rPr>
          <w:rFonts w:ascii="Arial" w:hAnsi="Arial" w:cs="Arial"/>
          <w:color w:val="auto"/>
        </w:rPr>
        <w:t xml:space="preserve"> в местах автобусных остановок. Автобусные остановки на дорогах I категории следует располагать одну напротив другой, а на дорогах категорий II - V их следует смещать по ходу движения на расстоянии не менее 30 м между ближайшими стенками павильонов. </w:t>
      </w:r>
    </w:p>
    <w:p w:rsidR="00476E64" w:rsidRPr="001428EC" w:rsidRDefault="00476E64" w:rsidP="00476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 xml:space="preserve">104.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здании,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</w:t>
      </w:r>
      <w:proofErr w:type="gramStart"/>
      <w:r w:rsidRPr="001428EC">
        <w:rPr>
          <w:rFonts w:ascii="Arial" w:hAnsi="Arial" w:cs="Arial"/>
          <w:sz w:val="24"/>
          <w:szCs w:val="24"/>
        </w:rPr>
        <w:t>таблице  17</w:t>
      </w:r>
      <w:proofErr w:type="gramEnd"/>
      <w:r w:rsidRPr="001428EC">
        <w:rPr>
          <w:rFonts w:ascii="Arial" w:hAnsi="Arial" w:cs="Arial"/>
          <w:sz w:val="24"/>
          <w:szCs w:val="24"/>
        </w:rPr>
        <w:t>.</w:t>
      </w:r>
    </w:p>
    <w:p w:rsidR="00476E64" w:rsidRPr="001428EC" w:rsidRDefault="00476E64" w:rsidP="00476E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11"/>
        <w:gridCol w:w="924"/>
        <w:gridCol w:w="915"/>
        <w:gridCol w:w="928"/>
        <w:gridCol w:w="919"/>
        <w:gridCol w:w="958"/>
      </w:tblGrid>
      <w:tr w:rsidR="00476E64" w:rsidRPr="00141872" w:rsidTr="008D3694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Здания, до которых определяется 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Расстояние, м</w:t>
            </w:r>
          </w:p>
        </w:tc>
      </w:tr>
      <w:tr w:rsidR="00476E64" w:rsidRPr="00141872" w:rsidTr="008D369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от гаражей и открытых стоянок при числе легковых 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от станций технического обслуживания при числе постов</w:t>
            </w:r>
          </w:p>
        </w:tc>
      </w:tr>
      <w:tr w:rsidR="00476E64" w:rsidRPr="00141872" w:rsidTr="008D369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11 - 50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51 - 100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101 –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11 – 30</w:t>
            </w:r>
          </w:p>
        </w:tc>
      </w:tr>
      <w:tr w:rsidR="00476E64" w:rsidRPr="00141872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</w:tr>
      <w:tr w:rsidR="00476E64" w:rsidRPr="00141872" w:rsidTr="008D3694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В том числе торцы жилых домов без 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</w:tr>
      <w:tr w:rsidR="00476E64" w:rsidRPr="00141872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Общественные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20</w:t>
            </w:r>
          </w:p>
        </w:tc>
      </w:tr>
      <w:tr w:rsidR="00476E64" w:rsidRPr="00141872" w:rsidTr="008D3694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64" w:rsidRPr="001428EC" w:rsidRDefault="00476E64" w:rsidP="008D3694">
            <w:pPr>
              <w:spacing w:after="0" w:line="200" w:lineRule="exact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Общеобразовательные школы и детские дошкольные 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</w:tr>
      <w:tr w:rsidR="00476E64" w:rsidRPr="00141872" w:rsidTr="008D3694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64" w:rsidRPr="001428EC" w:rsidRDefault="00476E64" w:rsidP="008D3694">
            <w:pPr>
              <w:jc w:val="both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Лечебные учреждения со 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64" w:rsidRPr="001428EC" w:rsidRDefault="00476E64" w:rsidP="008D3694">
            <w:pPr>
              <w:jc w:val="center"/>
              <w:rPr>
                <w:rFonts w:ascii="Courier New" w:hAnsi="Courier New" w:cs="Courier New"/>
              </w:rPr>
            </w:pPr>
            <w:r w:rsidRPr="001428EC">
              <w:rPr>
                <w:rFonts w:ascii="Courier New" w:hAnsi="Courier New" w:cs="Courier New"/>
              </w:rPr>
              <w:t>*</w:t>
            </w:r>
          </w:p>
        </w:tc>
      </w:tr>
    </w:tbl>
    <w:p w:rsidR="00476E64" w:rsidRPr="001428EC" w:rsidRDefault="00476E64" w:rsidP="00476E64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* Определяется по согласованию с органами Государственного санитарно-эпидемиологического надзора.</w:t>
      </w:r>
    </w:p>
    <w:p w:rsidR="00476E64" w:rsidRPr="001428EC" w:rsidRDefault="00476E64" w:rsidP="00476E64">
      <w:pPr>
        <w:spacing w:after="0" w:line="240" w:lineRule="exact"/>
        <w:ind w:firstLine="284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** Для зданий гаражей III - V степеней огнестойкости расстояния следует принимать не менее 12 м.</w:t>
      </w:r>
    </w:p>
    <w:p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428EC">
        <w:rPr>
          <w:rFonts w:ascii="Arial" w:hAnsi="Arial" w:cs="Arial"/>
          <w:b/>
          <w:sz w:val="24"/>
          <w:szCs w:val="24"/>
        </w:rPr>
        <w:t>Примечания</w:t>
      </w:r>
    </w:p>
    <w:p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476E64" w:rsidRPr="001428EC" w:rsidRDefault="00476E64" w:rsidP="00476E64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2. Расстояния от секционных жилых домов до открытых площадок вместимостью 101 - 300 машин, размещаемых вдоль продольных фасадов, следует принимать не менее 50 м.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105. Другие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 </w:t>
      </w:r>
    </w:p>
    <w:p w:rsidR="00476E64" w:rsidRPr="001428EC" w:rsidRDefault="00476E64" w:rsidP="00476E64">
      <w:pPr>
        <w:pStyle w:val="1"/>
      </w:pPr>
      <w:bookmarkStart w:id="9" w:name="_Глава_10._Расчетные"/>
      <w:bookmarkStart w:id="10" w:name="_Глава_11._Расчетные"/>
      <w:bookmarkStart w:id="11" w:name="_Глава_19._Расчетные"/>
      <w:bookmarkEnd w:id="9"/>
      <w:bookmarkEnd w:id="10"/>
      <w:bookmarkEnd w:id="11"/>
      <w:r w:rsidRPr="001428EC">
        <w:t xml:space="preserve">Глава 17. Расчетные показатели минимально допустимого уровня обеспеченности парковками (парковочными местами) и максимально допустимого уровня их доступности для населения </w:t>
      </w:r>
      <w:r w:rsidRPr="001428EC">
        <w:rPr>
          <w:bCs/>
        </w:rPr>
        <w:t>Коноваловского муниципального образования Балаганского района</w:t>
      </w:r>
      <w:r w:rsidRPr="001428EC">
        <w:t xml:space="preserve"> Иркутской области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106. 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жилые районы - 25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промышленные и коммунально-складские зоны (районы) - 25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общегородские и специализированные центры - 5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зоны массового кратковременного отдыха - 15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b/>
          <w:color w:val="auto"/>
        </w:rPr>
      </w:pPr>
      <w:r w:rsidRPr="001428EC">
        <w:rPr>
          <w:rFonts w:ascii="Arial" w:hAnsi="Arial" w:cs="Arial"/>
          <w:b/>
          <w:color w:val="auto"/>
        </w:rPr>
        <w:t xml:space="preserve">Примечания: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1.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2.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мотоциклы и мотороллеры с колясками, мотоколяски - 0,5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мотоциклы и мотороллеры без колясок - 0,25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• мопеды и велосипеды - 0,1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107. Нормы расчета </w:t>
      </w:r>
      <w:proofErr w:type="spellStart"/>
      <w:r w:rsidRPr="001428EC">
        <w:rPr>
          <w:rFonts w:ascii="Arial" w:hAnsi="Arial" w:cs="Arial"/>
          <w:color w:val="auto"/>
        </w:rPr>
        <w:t>приобъектных</w:t>
      </w:r>
      <w:proofErr w:type="spellEnd"/>
      <w:r w:rsidRPr="001428EC">
        <w:rPr>
          <w:rFonts w:ascii="Arial" w:hAnsi="Arial" w:cs="Arial"/>
          <w:color w:val="auto"/>
        </w:rPr>
        <w:t xml:space="preserve"> стоянок автомобилей определены в таблице 18. </w:t>
      </w:r>
    </w:p>
    <w:p w:rsidR="00476E64" w:rsidRPr="00141872" w:rsidRDefault="00476E64" w:rsidP="00476E64">
      <w:pPr>
        <w:pStyle w:val="Default"/>
        <w:spacing w:line="276" w:lineRule="auto"/>
        <w:jc w:val="right"/>
        <w:rPr>
          <w:color w:val="auto"/>
        </w:rPr>
      </w:pPr>
      <w:r w:rsidRPr="001428EC">
        <w:rPr>
          <w:rFonts w:ascii="Arial" w:hAnsi="Arial" w:cs="Arial"/>
          <w:color w:val="auto"/>
        </w:rPr>
        <w:t>Таблица 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476E64" w:rsidRPr="00141872" w:rsidTr="008D3694">
        <w:trPr>
          <w:trHeight w:val="417"/>
        </w:trPr>
        <w:tc>
          <w:tcPr>
            <w:tcW w:w="5211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2835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 единицы</w:t>
            </w:r>
          </w:p>
        </w:tc>
        <w:tc>
          <w:tcPr>
            <w:tcW w:w="141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 -</w:t>
            </w:r>
          </w:p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кол-во м/м</w:t>
            </w:r>
          </w:p>
        </w:tc>
      </w:tr>
      <w:tr w:rsidR="00476E64" w:rsidRPr="00141872" w:rsidTr="008D3694">
        <w:trPr>
          <w:trHeight w:val="149"/>
        </w:trPr>
        <w:tc>
          <w:tcPr>
            <w:tcW w:w="5211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1. Объекты административно-делового назначения 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Административно-управленческие учреждения, здания и помещения общественных организаций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Коммерческо-деловые центры, офисные здания и помещения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Банки и банковские учреждения: 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с операционными залами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без операционных залов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2. Учебно-образовательные учреждения </w:t>
            </w:r>
          </w:p>
        </w:tc>
      </w:tr>
      <w:tr w:rsidR="00476E64" w:rsidRPr="00141872" w:rsidTr="008D3694">
        <w:trPr>
          <w:trHeight w:val="280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476E64" w:rsidRPr="00141872" w:rsidTr="008D3694">
        <w:trPr>
          <w:trHeight w:val="280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Школы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Средние специальные учреждения, колледжи, специальные и частные школы, школы искусств и музыкальные школы городского значения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 преподавателей, занятых в одну смену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Центры обучения, самодеятельного творчества, клубы по интересам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3. Объекты промышленно-производственного назначения 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Производственные здания и коммунально-складские объекты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работающих в двух смежных сменах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4. Объекты торгово-бытового и коммунального назначения 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 (мелкооптовой и розничной торговли)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Магазины мелкооптовой и розничной торговли в сельских населенных пунктах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кв.м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476E64" w:rsidRPr="00141872" w:rsidTr="008D3694">
        <w:trPr>
          <w:trHeight w:val="524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ювелирные, книжные и т.п.)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Рынки постоянные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торговых мест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Рестораны, кафе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посадочных места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коммунально-бытового обслуживания 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единовременных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Ателье, фотосалоны городского значения, салоны-парикмахерские, салоны красоты, солярии, салоны моды, свадебные салоны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Салоны ритуальных услуг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Химчистки, прачечные, ремонтные мастерские, специализированные центры по обслуживанию сложной бытовой техники и др.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 рабочих места приемщика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Гостиницы 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Высшей категории (4-5*)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номеров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Другие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50 номеров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Кладбища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5. Объекты культуры и досуга 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Музеи, галереи, выставочные залы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единовременном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Городские библиотеки, Интернет-кафе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80 пос. место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религиозных конфессий (церкви, костелы, мечети, синагоги и др.)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единовременном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10-12, но не менее 10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машиномест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на объект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6. Лечебные учреждения 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Больницы, профилактории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койкомест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посещений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7. Спортивно-оздоровительные учреждения 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Спортивные комплексы и стадионы с трибунами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мест на трибунах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Оздоровительные комплексы (фитнес-клубы, ФОК, спортивные и тренажерные залы)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спортивные клубы и комплексы (теннис, картинг,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минифутбол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и др.)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476E64" w:rsidRPr="00141872" w:rsidTr="008D3694">
        <w:trPr>
          <w:trHeight w:val="271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8. Объекты транспортного обслуживания 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Железнодорожные вокзалы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12 пассажиров в час пик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476E64" w:rsidRPr="00141872" w:rsidTr="008D3694">
        <w:trPr>
          <w:trHeight w:val="272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Автовокзалы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40 пассажиров в час пик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9. Объекты рекреации 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Парки культуры и отдыха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Пляжи и парки в зонах отдыха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Лесопарки и заповедники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Садоводческие товарищества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 участков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:rsidTr="008D3694">
        <w:trPr>
          <w:trHeight w:val="145"/>
        </w:trPr>
        <w:tc>
          <w:tcPr>
            <w:tcW w:w="9464" w:type="dxa"/>
            <w:gridSpan w:val="3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10. Объекты пребывания с целью отдыха 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Базы кратковременного отдыха (спортивные, лыжные, рыболовные, охотничьи и др.)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единовременных посетителей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476E64" w:rsidRPr="00141872" w:rsidTr="008D3694">
        <w:trPr>
          <w:trHeight w:val="398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Дома отдыха и санатории, санатории-профилактории, базы отдыха предприятий и туристские базы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отдыхающих и обслуживающего персонала </w:t>
            </w:r>
          </w:p>
        </w:tc>
        <w:tc>
          <w:tcPr>
            <w:tcW w:w="141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476E64" w:rsidRPr="00141872" w:rsidTr="008D3694">
        <w:trPr>
          <w:trHeight w:val="145"/>
        </w:trPr>
        <w:tc>
          <w:tcPr>
            <w:tcW w:w="5211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Мотели и кемпинги </w:t>
            </w:r>
          </w:p>
        </w:tc>
        <w:tc>
          <w:tcPr>
            <w:tcW w:w="283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расчетной вместимости </w:t>
            </w:r>
          </w:p>
        </w:tc>
      </w:tr>
    </w:tbl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* - </w:t>
      </w:r>
      <w:proofErr w:type="spellStart"/>
      <w:r w:rsidRPr="001428EC">
        <w:rPr>
          <w:rFonts w:ascii="Arial" w:hAnsi="Arial" w:cs="Arial"/>
          <w:color w:val="auto"/>
        </w:rPr>
        <w:t>приобъектные</w:t>
      </w:r>
      <w:proofErr w:type="spellEnd"/>
      <w:r w:rsidRPr="001428EC">
        <w:rPr>
          <w:rFonts w:ascii="Arial" w:hAnsi="Arial" w:cs="Arial"/>
          <w:color w:val="auto"/>
        </w:rPr>
        <w:t xml:space="preserve">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СанПиН 2.2.1/2.1.1.1200-03 исходя из количества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-мест.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lastRenderedPageBreak/>
        <w:t xml:space="preserve">108. При организации кооперированных стоянок, обслуживающих группы объектов с различным режимом суточного функционирования, допускается снижение расчетного по каждому объекту в отдельности числа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 на 10-15%.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109. При реконструкции застройки в исторической части города допускается снижение полученного расчетом количества </w:t>
      </w:r>
      <w:proofErr w:type="spellStart"/>
      <w:r w:rsidRPr="001428EC">
        <w:rPr>
          <w:rFonts w:ascii="Arial" w:hAnsi="Arial" w:cs="Arial"/>
          <w:color w:val="auto"/>
        </w:rPr>
        <w:t>машино</w:t>
      </w:r>
      <w:proofErr w:type="spellEnd"/>
      <w:r w:rsidRPr="001428EC">
        <w:rPr>
          <w:rFonts w:ascii="Arial" w:hAnsi="Arial" w:cs="Arial"/>
          <w:color w:val="auto"/>
        </w:rPr>
        <w:t xml:space="preserve">-мест на 10% для объектов административно-делового и торгово-бытового назначения, на 15% - для объектов культуры и досуга.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110. Расстояние пешеходных подходов от стоянок для временного хранения легковых автомобилей принимать в соответствии с таблицей 19. </w:t>
      </w:r>
    </w:p>
    <w:p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476E64" w:rsidRPr="00141872" w:rsidTr="008D3694">
        <w:trPr>
          <w:trHeight w:val="147"/>
        </w:trPr>
        <w:tc>
          <w:tcPr>
            <w:tcW w:w="6345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2727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:rsidTr="008D3694">
        <w:trPr>
          <w:trHeight w:val="147"/>
        </w:trPr>
        <w:tc>
          <w:tcPr>
            <w:tcW w:w="634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 входов в жилые дома </w:t>
            </w:r>
          </w:p>
        </w:tc>
        <w:tc>
          <w:tcPr>
            <w:tcW w:w="2727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476E64" w:rsidRPr="00141872" w:rsidTr="008D3694">
        <w:trPr>
          <w:trHeight w:val="398"/>
        </w:trPr>
        <w:tc>
          <w:tcPr>
            <w:tcW w:w="634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2727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476E64" w:rsidRPr="00141872" w:rsidTr="008D3694">
        <w:trPr>
          <w:trHeight w:val="398"/>
        </w:trPr>
        <w:tc>
          <w:tcPr>
            <w:tcW w:w="634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2727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476E64" w:rsidRPr="00141872" w:rsidTr="008D3694">
        <w:trPr>
          <w:trHeight w:val="145"/>
        </w:trPr>
        <w:tc>
          <w:tcPr>
            <w:tcW w:w="6345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входов в парки, на выставки и стадионы </w:t>
            </w:r>
          </w:p>
        </w:tc>
        <w:tc>
          <w:tcPr>
            <w:tcW w:w="2727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476E64" w:rsidRPr="00141872" w:rsidRDefault="00476E64" w:rsidP="00476E64">
      <w:pPr>
        <w:pStyle w:val="1"/>
      </w:pPr>
      <w:bookmarkStart w:id="12" w:name="_Глава_12._Расчетные"/>
      <w:bookmarkStart w:id="13" w:name="_Глава_20._Расчетные"/>
      <w:bookmarkEnd w:id="12"/>
      <w:bookmarkEnd w:id="13"/>
    </w:p>
    <w:p w:rsidR="00476E64" w:rsidRPr="00141872" w:rsidRDefault="00476E64" w:rsidP="00476E64">
      <w:pPr>
        <w:pStyle w:val="1"/>
      </w:pPr>
      <w:bookmarkStart w:id="14" w:name="_Глава_20._Расчетные_1"/>
      <w:bookmarkEnd w:id="14"/>
      <w:r w:rsidRPr="00141872">
        <w:t xml:space="preserve">Глава 18.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</w:t>
      </w:r>
      <w:r>
        <w:rPr>
          <w:bCs/>
        </w:rPr>
        <w:t>Коноваловского</w:t>
      </w:r>
      <w:r w:rsidRPr="00141872">
        <w:rPr>
          <w:bCs/>
        </w:rPr>
        <w:t xml:space="preserve"> муниципального образования </w:t>
      </w:r>
      <w:r>
        <w:rPr>
          <w:bCs/>
        </w:rPr>
        <w:t>Балаганского</w:t>
      </w:r>
      <w:r w:rsidRPr="00141872">
        <w:rPr>
          <w:bCs/>
        </w:rPr>
        <w:t xml:space="preserve"> района</w:t>
      </w:r>
      <w:r w:rsidRPr="00141872">
        <w:t xml:space="preserve"> Иркутской области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1428EC">
        <w:rPr>
          <w:rFonts w:ascii="Arial" w:hAnsi="Arial" w:cs="Arial"/>
          <w:color w:val="auto"/>
        </w:rPr>
        <w:t>111. Дальность пешеходных подходов до ближайшей остановки общественного пассажирского транспорта представлена в таблице 20</w:t>
      </w:r>
      <w:r w:rsidRPr="001428E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  <w:sz w:val="23"/>
          <w:szCs w:val="23"/>
        </w:rPr>
        <w:t>Таблица 20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4538"/>
      </w:tblGrid>
      <w:tr w:rsidR="00476E64" w:rsidRPr="00141872" w:rsidTr="008D3694">
        <w:trPr>
          <w:trHeight w:val="149"/>
        </w:trPr>
        <w:tc>
          <w:tcPr>
            <w:tcW w:w="4392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 </w:t>
            </w:r>
          </w:p>
        </w:tc>
        <w:tc>
          <w:tcPr>
            <w:tcW w:w="453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:rsidTr="008D3694">
        <w:trPr>
          <w:trHeight w:val="271"/>
        </w:trPr>
        <w:tc>
          <w:tcPr>
            <w:tcW w:w="4392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Производственная и коммунально-складская зона </w:t>
            </w:r>
          </w:p>
        </w:tc>
        <w:tc>
          <w:tcPr>
            <w:tcW w:w="453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400 от проходных предприятий</w:t>
            </w:r>
          </w:p>
        </w:tc>
      </w:tr>
      <w:tr w:rsidR="00476E64" w:rsidRPr="00141872" w:rsidTr="008D3694">
        <w:trPr>
          <w:trHeight w:val="145"/>
        </w:trPr>
        <w:tc>
          <w:tcPr>
            <w:tcW w:w="4392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Зоны массового отдыха и спорта </w:t>
            </w:r>
          </w:p>
        </w:tc>
        <w:tc>
          <w:tcPr>
            <w:tcW w:w="4538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800 от главного входа</w:t>
            </w:r>
          </w:p>
        </w:tc>
      </w:tr>
    </w:tbl>
    <w:p w:rsidR="00476E64" w:rsidRPr="00141872" w:rsidRDefault="00476E64" w:rsidP="00476E64">
      <w:pPr>
        <w:pStyle w:val="Default"/>
        <w:jc w:val="both"/>
        <w:rPr>
          <w:b/>
          <w:bCs/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112. Дальность пешеходных подходов до ближайшей остановки общественного пассажирского транспорта следует принимать не более 500 метров.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21. </w:t>
      </w:r>
    </w:p>
    <w:p w:rsidR="00476E64" w:rsidRPr="00141872" w:rsidRDefault="00476E64" w:rsidP="00476E64">
      <w:pPr>
        <w:pStyle w:val="Default"/>
        <w:spacing w:line="276" w:lineRule="auto"/>
        <w:jc w:val="right"/>
        <w:rPr>
          <w:color w:val="auto"/>
        </w:rPr>
      </w:pPr>
    </w:p>
    <w:p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476E64" w:rsidRPr="00141872" w:rsidTr="008D3694">
        <w:trPr>
          <w:trHeight w:val="157"/>
        </w:trPr>
        <w:tc>
          <w:tcPr>
            <w:tcW w:w="492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Вид транспорта </w:t>
            </w:r>
          </w:p>
        </w:tc>
        <w:tc>
          <w:tcPr>
            <w:tcW w:w="4042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:rsidTr="008D3694">
        <w:trPr>
          <w:trHeight w:val="145"/>
        </w:trPr>
        <w:tc>
          <w:tcPr>
            <w:tcW w:w="492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для автобусов </w:t>
            </w:r>
          </w:p>
        </w:tc>
        <w:tc>
          <w:tcPr>
            <w:tcW w:w="4042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476E64" w:rsidRPr="00141872" w:rsidTr="008D3694">
        <w:trPr>
          <w:trHeight w:val="145"/>
        </w:trPr>
        <w:tc>
          <w:tcPr>
            <w:tcW w:w="492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экспресс-автобусов </w:t>
            </w:r>
          </w:p>
        </w:tc>
        <w:tc>
          <w:tcPr>
            <w:tcW w:w="4042" w:type="dxa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:rsidR="00476E64" w:rsidRPr="00141872" w:rsidRDefault="00476E64" w:rsidP="00476E64">
      <w:pPr>
        <w:pStyle w:val="Default"/>
        <w:spacing w:line="276" w:lineRule="auto"/>
        <w:jc w:val="both"/>
        <w:rPr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113. Расстояние пешеходных подходов от стоянок для временного хранения легковых автомобилей принимать в соответствии с таблицей 22. </w:t>
      </w:r>
    </w:p>
    <w:p w:rsidR="00476E64" w:rsidRPr="001428EC" w:rsidRDefault="00476E64" w:rsidP="00476E64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>Таблица 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476E64" w:rsidRPr="00141872" w:rsidTr="008D3694">
        <w:trPr>
          <w:trHeight w:val="145"/>
        </w:trPr>
        <w:tc>
          <w:tcPr>
            <w:tcW w:w="5778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3152" w:type="dxa"/>
            <w:shd w:val="clear" w:color="auto" w:fill="EAF1DD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Расстояние (в метрах) </w:t>
            </w:r>
          </w:p>
        </w:tc>
      </w:tr>
      <w:tr w:rsidR="00476E64" w:rsidRPr="00141872" w:rsidTr="008D3694">
        <w:trPr>
          <w:trHeight w:val="145"/>
        </w:trPr>
        <w:tc>
          <w:tcPr>
            <w:tcW w:w="577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до входов в жилые дома </w:t>
            </w:r>
          </w:p>
        </w:tc>
        <w:tc>
          <w:tcPr>
            <w:tcW w:w="3152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476E64" w:rsidRPr="00141872" w:rsidTr="008D3694">
        <w:trPr>
          <w:trHeight w:val="272"/>
        </w:trPr>
        <w:tc>
          <w:tcPr>
            <w:tcW w:w="577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3152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476E64" w:rsidRPr="00141872" w:rsidTr="008D3694">
        <w:trPr>
          <w:trHeight w:val="272"/>
        </w:trPr>
        <w:tc>
          <w:tcPr>
            <w:tcW w:w="577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3152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476E64" w:rsidRPr="00141872" w:rsidTr="008D3694">
        <w:trPr>
          <w:trHeight w:val="145"/>
        </w:trPr>
        <w:tc>
          <w:tcPr>
            <w:tcW w:w="5778" w:type="dxa"/>
          </w:tcPr>
          <w:p w:rsidR="00476E64" w:rsidRPr="001428EC" w:rsidRDefault="00476E64" w:rsidP="008D369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входов в парки, на выставки и стадионы </w:t>
            </w:r>
          </w:p>
        </w:tc>
        <w:tc>
          <w:tcPr>
            <w:tcW w:w="3152" w:type="dxa"/>
            <w:vAlign w:val="center"/>
          </w:tcPr>
          <w:p w:rsidR="00476E64" w:rsidRPr="001428EC" w:rsidRDefault="00476E64" w:rsidP="008D3694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428EC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476E64" w:rsidRPr="00141872" w:rsidRDefault="00476E64" w:rsidP="00476E64">
      <w:pPr>
        <w:pStyle w:val="Default"/>
        <w:jc w:val="both"/>
        <w:rPr>
          <w:color w:val="auto"/>
        </w:rPr>
      </w:pP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114.  На магистральных улицах и дорогах регулируемого движения в пределах </w:t>
      </w:r>
      <w:proofErr w:type="gramStart"/>
      <w:r w:rsidRPr="001428EC">
        <w:rPr>
          <w:rFonts w:ascii="Arial" w:hAnsi="Arial" w:cs="Arial"/>
          <w:color w:val="auto"/>
        </w:rPr>
        <w:t>застроен- ной</w:t>
      </w:r>
      <w:proofErr w:type="gramEnd"/>
      <w:r w:rsidRPr="001428EC">
        <w:rPr>
          <w:rFonts w:ascii="Arial" w:hAnsi="Arial" w:cs="Arial"/>
          <w:color w:val="auto"/>
        </w:rPr>
        <w:t xml:space="preserve"> территории следует предусматривать пешеходные переходы в одном уровне с интервалом 200–300 м.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 Пешеходные переходы в разных уровнях, оборудованные лестницами и пандусами, следует предусматривать с интервалом, м: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- на дорогах скоростного движения, линиях скоростного трамвая и железных дорогах 400 - 800 м. </w:t>
      </w:r>
    </w:p>
    <w:p w:rsidR="00476E64" w:rsidRPr="001428EC" w:rsidRDefault="00476E64" w:rsidP="00476E64">
      <w:pPr>
        <w:pStyle w:val="Defaul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- на магистральных улицах непрерывного движения 300 – 400 м. </w:t>
      </w:r>
    </w:p>
    <w:p w:rsidR="00476E64" w:rsidRPr="001428EC" w:rsidRDefault="00476E64" w:rsidP="00476E64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1428EC">
        <w:rPr>
          <w:rFonts w:ascii="Arial" w:hAnsi="Arial" w:cs="Arial"/>
          <w:color w:val="auto"/>
        </w:rPr>
        <w:t xml:space="preserve">      </w:t>
      </w:r>
      <w:r w:rsidRPr="001428EC">
        <w:rPr>
          <w:rFonts w:ascii="Arial" w:hAnsi="Arial" w:cs="Arial"/>
          <w:b/>
          <w:color w:val="auto"/>
        </w:rPr>
        <w:t xml:space="preserve">Примечания: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</w:t>
      </w:r>
      <w:proofErr w:type="gramStart"/>
      <w:r w:rsidRPr="001428EC">
        <w:rPr>
          <w:rFonts w:ascii="Arial" w:hAnsi="Arial" w:cs="Arial"/>
          <w:color w:val="auto"/>
        </w:rPr>
        <w:t>чел</w:t>
      </w:r>
      <w:proofErr w:type="gramEnd"/>
      <w:r w:rsidRPr="001428EC">
        <w:rPr>
          <w:rFonts w:ascii="Arial" w:hAnsi="Arial" w:cs="Arial"/>
          <w:color w:val="auto"/>
        </w:rPr>
        <w:t xml:space="preserve">/ч. </w:t>
      </w:r>
    </w:p>
    <w:p w:rsidR="00476E64" w:rsidRPr="001428EC" w:rsidRDefault="00476E64" w:rsidP="00476E64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  <w:r w:rsidRPr="001428EC">
        <w:rPr>
          <w:rFonts w:ascii="Arial" w:hAnsi="Arial" w:cs="Arial"/>
          <w:color w:val="auto"/>
        </w:rPr>
        <w:t xml:space="preserve">      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«пик» не более 0,3 </w:t>
      </w:r>
      <w:proofErr w:type="gramStart"/>
      <w:r w:rsidRPr="001428EC">
        <w:rPr>
          <w:rFonts w:ascii="Arial" w:hAnsi="Arial" w:cs="Arial"/>
          <w:color w:val="auto"/>
        </w:rPr>
        <w:t>чел</w:t>
      </w:r>
      <w:proofErr w:type="gramEnd"/>
      <w:r w:rsidRPr="001428EC">
        <w:rPr>
          <w:rFonts w:ascii="Arial" w:hAnsi="Arial" w:cs="Arial"/>
          <w:color w:val="auto"/>
        </w:rPr>
        <w:t xml:space="preserve">/м2; на </w:t>
      </w:r>
      <w:proofErr w:type="spellStart"/>
      <w:r w:rsidRPr="001428EC">
        <w:rPr>
          <w:rFonts w:ascii="Arial" w:hAnsi="Arial" w:cs="Arial"/>
          <w:color w:val="auto"/>
        </w:rPr>
        <w:t>предзаводских</w:t>
      </w:r>
      <w:proofErr w:type="spellEnd"/>
      <w:r w:rsidRPr="001428EC">
        <w:rPr>
          <w:rFonts w:ascii="Arial" w:hAnsi="Arial" w:cs="Arial"/>
          <w:color w:val="auto"/>
        </w:rPr>
        <w:t xml:space="preserve"> площадях, у спортивно-зрелищных учреждений,</w:t>
      </w:r>
      <w:r w:rsidRPr="001428EC">
        <w:rPr>
          <w:rFonts w:ascii="Arial" w:hAnsi="Arial" w:cs="Arial"/>
        </w:rPr>
        <w:t xml:space="preserve"> </w:t>
      </w:r>
      <w:r w:rsidRPr="001428EC">
        <w:rPr>
          <w:rFonts w:ascii="Arial" w:hAnsi="Arial" w:cs="Arial"/>
          <w:color w:val="auto"/>
        </w:rPr>
        <w:t xml:space="preserve">кинотеатров, вокзалов – 0,8 чел/м2. </w:t>
      </w:r>
    </w:p>
    <w:p w:rsidR="00CF3A63" w:rsidRPr="001428EC" w:rsidRDefault="00476E64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hAnsi="Arial" w:cs="Arial"/>
          <w:sz w:val="24"/>
          <w:szCs w:val="24"/>
        </w:rPr>
        <w:t>Глава 17.1</w:t>
      </w:r>
      <w:r w:rsidR="009638D3" w:rsidRPr="001428EC">
        <w:rPr>
          <w:rFonts w:ascii="Arial" w:hAnsi="Arial" w:cs="Arial"/>
          <w:sz w:val="24"/>
          <w:szCs w:val="24"/>
        </w:rPr>
        <w:t xml:space="preserve"> 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9638D3" w:rsidRPr="001428EC">
        <w:rPr>
          <w:rFonts w:ascii="Arial" w:hAnsi="Arial" w:cs="Arial"/>
          <w:bCs/>
          <w:sz w:val="24"/>
          <w:szCs w:val="24"/>
        </w:rPr>
        <w:t>Коноваловского муниципального образования Балаганского района</w:t>
      </w:r>
      <w:r w:rsidR="009638D3" w:rsidRPr="001428EC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9638D3" w:rsidRPr="001428EC" w:rsidRDefault="009638D3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    г.</w:t>
      </w:r>
      <w:r w:rsidR="00E31231" w:rsidRPr="00E31231">
        <w:rPr>
          <w:rFonts w:ascii="Courier New" w:hAnsi="Courier New" w:cs="Courier New"/>
        </w:rPr>
        <w:t xml:space="preserve"> </w:t>
      </w:r>
      <w:r w:rsidR="00E31231">
        <w:rPr>
          <w:rFonts w:ascii="Courier New" w:hAnsi="Courier New" w:cs="Courier New"/>
        </w:rPr>
        <w:t>№</w:t>
      </w:r>
    </w:p>
    <w:p w:rsidR="00997165" w:rsidRPr="006B67D6" w:rsidRDefault="00997165" w:rsidP="001428EC">
      <w:pPr>
        <w:spacing w:after="0" w:line="240" w:lineRule="auto"/>
        <w:jc w:val="right"/>
        <w:rPr>
          <w:rFonts w:ascii="Arial" w:hAnsi="Arial" w:cs="Arial"/>
        </w:rPr>
      </w:pPr>
    </w:p>
    <w:p w:rsidR="00997165" w:rsidRPr="00997165" w:rsidRDefault="00997165" w:rsidP="00997165">
      <w:pPr>
        <w:pStyle w:val="1"/>
      </w:pPr>
      <w:r w:rsidRPr="00997165">
        <w:t xml:space="preserve">Раздел </w:t>
      </w:r>
      <w:r w:rsidRPr="00997165">
        <w:rPr>
          <w:lang w:val="en-US"/>
        </w:rPr>
        <w:t>V</w:t>
      </w:r>
      <w:r w:rsidRPr="00997165">
        <w:t xml:space="preserve">II. Объекты автомобильного транспорта </w:t>
      </w:r>
    </w:p>
    <w:p w:rsidR="00997165" w:rsidRPr="00997165" w:rsidRDefault="00997165" w:rsidP="00997165">
      <w:pPr>
        <w:pStyle w:val="1"/>
      </w:pPr>
      <w:r w:rsidRPr="00997165">
        <w:t xml:space="preserve">Глава 19.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значения.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Формула расчета: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 – плотность сети автомобильных дорог;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S территории – площадь территории;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L </w:t>
      </w:r>
      <w:proofErr w:type="spellStart"/>
      <w:r w:rsidRPr="00997165">
        <w:rPr>
          <w:rFonts w:ascii="Arial" w:hAnsi="Arial" w:cs="Arial"/>
          <w:color w:val="auto"/>
        </w:rPr>
        <w:t>м.зн</w:t>
      </w:r>
      <w:proofErr w:type="spellEnd"/>
      <w:r w:rsidRPr="00997165">
        <w:rPr>
          <w:rFonts w:ascii="Arial" w:hAnsi="Arial" w:cs="Arial"/>
          <w:color w:val="auto"/>
        </w:rPr>
        <w:t xml:space="preserve">. – протяженность сети автомобильных дорог общего пользования местного значения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 </w:t>
      </w:r>
      <w:proofErr w:type="spellStart"/>
      <w:r w:rsidRPr="00997165">
        <w:rPr>
          <w:rFonts w:ascii="Arial" w:hAnsi="Arial" w:cs="Arial"/>
          <w:color w:val="auto"/>
        </w:rPr>
        <w:t>м.</w:t>
      </w:r>
      <w:proofErr w:type="gramStart"/>
      <w:r w:rsidRPr="00997165">
        <w:rPr>
          <w:rFonts w:ascii="Arial" w:hAnsi="Arial" w:cs="Arial"/>
          <w:color w:val="auto"/>
        </w:rPr>
        <w:t>зн</w:t>
      </w:r>
      <w:proofErr w:type="spellEnd"/>
      <w:r w:rsidRPr="00997165">
        <w:rPr>
          <w:rFonts w:ascii="Arial" w:hAnsi="Arial" w:cs="Arial"/>
          <w:color w:val="auto"/>
        </w:rPr>
        <w:t>.=</w:t>
      </w:r>
      <w:proofErr w:type="gramEnd"/>
      <w:r w:rsidRPr="00997165">
        <w:rPr>
          <w:rFonts w:ascii="Arial" w:hAnsi="Arial" w:cs="Arial"/>
          <w:color w:val="auto"/>
        </w:rPr>
        <w:t xml:space="preserve"> L </w:t>
      </w:r>
      <w:proofErr w:type="spellStart"/>
      <w:r w:rsidRPr="00997165">
        <w:rPr>
          <w:rFonts w:ascii="Arial" w:hAnsi="Arial" w:cs="Arial"/>
          <w:color w:val="auto"/>
        </w:rPr>
        <w:t>м.зн</w:t>
      </w:r>
      <w:proofErr w:type="spellEnd"/>
      <w:r w:rsidRPr="00997165">
        <w:rPr>
          <w:rFonts w:ascii="Arial" w:hAnsi="Arial" w:cs="Arial"/>
          <w:color w:val="auto"/>
        </w:rPr>
        <w:t xml:space="preserve">./S территории </w:t>
      </w:r>
    </w:p>
    <w:p w:rsidR="00997165" w:rsidRPr="00997165" w:rsidRDefault="00997165" w:rsidP="00997165">
      <w:pPr>
        <w:pStyle w:val="Default"/>
        <w:jc w:val="right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  </w:t>
      </w:r>
    </w:p>
    <w:p w:rsidR="00997165" w:rsidRPr="00997165" w:rsidRDefault="00997165" w:rsidP="00997165">
      <w:pPr>
        <w:tabs>
          <w:tab w:val="left" w:pos="70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  <w:r w:rsidRPr="00997165">
        <w:rPr>
          <w:rFonts w:ascii="Arial" w:hAnsi="Arial" w:cs="Arial"/>
          <w:sz w:val="24"/>
          <w:szCs w:val="24"/>
          <w:lang w:eastAsia="x-none"/>
        </w:rPr>
        <w:t xml:space="preserve">Данные плотности сети автомобильных </w:t>
      </w:r>
      <w:proofErr w:type="gramStart"/>
      <w:r w:rsidRPr="00997165">
        <w:rPr>
          <w:rFonts w:ascii="Arial" w:hAnsi="Arial" w:cs="Arial"/>
          <w:sz w:val="24"/>
          <w:szCs w:val="24"/>
          <w:lang w:eastAsia="x-none"/>
        </w:rPr>
        <w:t>дорог  по</w:t>
      </w:r>
      <w:proofErr w:type="gramEnd"/>
      <w:r w:rsidRPr="00997165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997165">
        <w:rPr>
          <w:rFonts w:ascii="Arial" w:hAnsi="Arial" w:cs="Arial"/>
          <w:sz w:val="24"/>
          <w:szCs w:val="24"/>
        </w:rPr>
        <w:t>Коноваловскому</w:t>
      </w:r>
      <w:proofErr w:type="spellEnd"/>
      <w:r w:rsidRPr="00997165">
        <w:rPr>
          <w:rFonts w:ascii="Arial" w:hAnsi="Arial" w:cs="Arial"/>
          <w:sz w:val="24"/>
          <w:szCs w:val="24"/>
        </w:rPr>
        <w:t xml:space="preserve"> муниципальному образованию Балаганского района Иркутской области</w:t>
      </w:r>
      <w:r w:rsidRPr="00997165">
        <w:rPr>
          <w:rFonts w:ascii="Arial" w:hAnsi="Arial" w:cs="Arial"/>
          <w:sz w:val="24"/>
          <w:szCs w:val="24"/>
          <w:lang w:eastAsia="x-none"/>
        </w:rPr>
        <w:t xml:space="preserve"> взяты по материалам генерального плана  </w:t>
      </w:r>
      <w:r w:rsidRPr="0099716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97165">
        <w:rPr>
          <w:rFonts w:ascii="Arial" w:hAnsi="Arial" w:cs="Arial"/>
          <w:sz w:val="24"/>
          <w:szCs w:val="24"/>
          <w:lang w:eastAsia="x-none"/>
        </w:rPr>
        <w:t>и приведены в таблице 22</w:t>
      </w:r>
    </w:p>
    <w:p w:rsidR="00997165" w:rsidRPr="00997165" w:rsidRDefault="00997165" w:rsidP="00997165">
      <w:pPr>
        <w:pStyle w:val="Default"/>
        <w:jc w:val="right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>Таблица 22</w:t>
      </w:r>
    </w:p>
    <w:tbl>
      <w:tblPr>
        <w:tblW w:w="8959" w:type="dxa"/>
        <w:tblInd w:w="380" w:type="dxa"/>
        <w:tblLook w:val="04A0" w:firstRow="1" w:lastRow="0" w:firstColumn="1" w:lastColumn="0" w:noHBand="0" w:noVBand="1"/>
      </w:tblPr>
      <w:tblGrid>
        <w:gridCol w:w="485"/>
        <w:gridCol w:w="3731"/>
        <w:gridCol w:w="2065"/>
        <w:gridCol w:w="1141"/>
        <w:gridCol w:w="1537"/>
      </w:tblGrid>
      <w:tr w:rsidR="00997165" w:rsidRPr="00926A81" w:rsidTr="008D3694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7165" w:rsidRPr="00997165" w:rsidRDefault="00997165" w:rsidP="008D3694">
            <w:pPr>
              <w:spacing w:after="0" w:line="240" w:lineRule="auto"/>
              <w:ind w:left="-392" w:firstLine="392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Площадь км2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 xml:space="preserve">Плотность, км/км2 </w:t>
            </w:r>
          </w:p>
        </w:tc>
      </w:tr>
      <w:tr w:rsidR="00997165" w:rsidRPr="00926A81" w:rsidTr="008D3694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65" w:rsidRPr="00997165" w:rsidRDefault="00997165" w:rsidP="008D369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97165">
              <w:rPr>
                <w:rFonts w:ascii="Courier New" w:hAnsi="Courier New" w:cs="Courier New"/>
              </w:rPr>
              <w:t>Коноваловское</w:t>
            </w:r>
            <w:proofErr w:type="spellEnd"/>
            <w:r w:rsidRPr="00997165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13,77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165" w:rsidRPr="00997165" w:rsidRDefault="00997165" w:rsidP="008D3694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97165">
              <w:rPr>
                <w:rFonts w:ascii="Courier New" w:hAnsi="Courier New" w:cs="Courier New"/>
              </w:rPr>
              <w:t>8,1</w:t>
            </w:r>
          </w:p>
        </w:tc>
      </w:tr>
    </w:tbl>
    <w:p w:rsidR="00997165" w:rsidRPr="00926A81" w:rsidRDefault="00997165" w:rsidP="00997165">
      <w:pPr>
        <w:pStyle w:val="Default"/>
        <w:rPr>
          <w:color w:val="auto"/>
        </w:rPr>
      </w:pPr>
    </w:p>
    <w:p w:rsidR="00997165" w:rsidRPr="00997165" w:rsidRDefault="00997165" w:rsidP="00997165">
      <w:pPr>
        <w:pStyle w:val="1"/>
      </w:pPr>
      <w:r w:rsidRPr="00997165">
        <w:t xml:space="preserve">Глава 20.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pStyle w:val="1"/>
      </w:pPr>
    </w:p>
    <w:p w:rsidR="00997165" w:rsidRPr="00997165" w:rsidRDefault="00997165" w:rsidP="00997165">
      <w:pPr>
        <w:pStyle w:val="1"/>
        <w:rPr>
          <w:b/>
        </w:rPr>
      </w:pPr>
      <w:r w:rsidRPr="00997165">
        <w:rPr>
          <w:b/>
        </w:rPr>
        <w:t xml:space="preserve"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97165" w:rsidRPr="00997165" w:rsidRDefault="00997165" w:rsidP="00997165">
      <w:pPr>
        <w:pStyle w:val="1"/>
      </w:pPr>
      <w:bookmarkStart w:id="15" w:name="_Глава_13._Расчетные"/>
      <w:bookmarkStart w:id="16" w:name="_Глава_21._Расчетные"/>
      <w:bookmarkEnd w:id="15"/>
      <w:bookmarkEnd w:id="16"/>
      <w:r w:rsidRPr="00997165">
        <w:t xml:space="preserve">Глава 21.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pStyle w:val="1"/>
      </w:pPr>
    </w:p>
    <w:p w:rsidR="00997165" w:rsidRPr="00997165" w:rsidRDefault="00997165" w:rsidP="00997165">
      <w:pPr>
        <w:pStyle w:val="1"/>
        <w:rPr>
          <w:b/>
        </w:rPr>
      </w:pPr>
      <w:r w:rsidRPr="00997165">
        <w:rPr>
          <w:b/>
        </w:rPr>
        <w:t xml:space="preserve"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97165" w:rsidRPr="00997165" w:rsidRDefault="00997165" w:rsidP="00997165">
      <w:pPr>
        <w:pStyle w:val="1"/>
      </w:pPr>
      <w:bookmarkStart w:id="17" w:name="_Глава_14._"/>
      <w:bookmarkStart w:id="18" w:name="_Глава_22._"/>
      <w:bookmarkStart w:id="19" w:name="_Глава_23._Расчетные"/>
      <w:bookmarkStart w:id="20" w:name="_Глава_22._Расчетные"/>
      <w:bookmarkEnd w:id="17"/>
      <w:bookmarkEnd w:id="18"/>
      <w:bookmarkEnd w:id="19"/>
      <w:bookmarkEnd w:id="20"/>
      <w:r w:rsidRPr="00997165">
        <w:t xml:space="preserve">Глава 22. Расчетные показатели минимально допустимого уровня обеспеченности и максимально допустимого уровня территориальной доступности </w:t>
      </w:r>
      <w:r w:rsidRPr="00997165">
        <w:lastRenderedPageBreak/>
        <w:t xml:space="preserve">элементов обустройства автомобильных дорог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Расчетные показатели минимально допустимого уровня обеспеченности элементами обустройства автомобильных дорог установлены в соответствии с СП 34.13330.2012 (Актуализированная редакция СНиП 2.05.02-85* «Автомобильные дороги»).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97165" w:rsidRPr="00997165" w:rsidRDefault="00997165" w:rsidP="00997165">
      <w:pPr>
        <w:pStyle w:val="1"/>
      </w:pPr>
      <w:bookmarkStart w:id="21" w:name="_Глава_24._Расчетные"/>
      <w:bookmarkStart w:id="22" w:name="_Глава_25._Расчетные"/>
      <w:bookmarkEnd w:id="21"/>
      <w:bookmarkEnd w:id="22"/>
      <w:r w:rsidRPr="00997165">
        <w:t xml:space="preserve">Глава 23. Расчетные показатели минимально допустимого уровня обеспеченности парковками (парковочными местами) и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  <w:r w:rsidRPr="00997165">
        <w:rPr>
          <w:rFonts w:ascii="Arial" w:hAnsi="Arial" w:cs="Arial"/>
          <w:color w:val="auto"/>
        </w:rPr>
        <w:t xml:space="preserve">Предельные значения расчетных показателей минимально допустимого уровня обеспеченности парковками (парковочными местами) и максимально допустимого уровня их доступности установлены в соответствии с СП 42.13330.2011 (Актуализированная редакция СНиП 2.07.01-89* «Градостроительство. Планировка и застройка городских и сельских поселений»). </w:t>
      </w:r>
      <w:bookmarkStart w:id="23" w:name="_Глава_18._Расчетные"/>
      <w:bookmarkStart w:id="24" w:name="_Глава_26._Расчетные"/>
      <w:bookmarkEnd w:id="23"/>
      <w:bookmarkEnd w:id="24"/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color w:val="auto"/>
        </w:rPr>
      </w:pPr>
    </w:p>
    <w:p w:rsidR="00997165" w:rsidRPr="00997165" w:rsidRDefault="00997165" w:rsidP="00997165">
      <w:pPr>
        <w:pStyle w:val="1"/>
      </w:pPr>
      <w:bookmarkStart w:id="25" w:name="_Глава_24._Расчетные_1"/>
      <w:bookmarkEnd w:id="25"/>
    </w:p>
    <w:p w:rsidR="00997165" w:rsidRPr="00997165" w:rsidRDefault="00997165" w:rsidP="00997165">
      <w:pPr>
        <w:rPr>
          <w:rFonts w:ascii="Arial" w:hAnsi="Arial" w:cs="Arial"/>
        </w:rPr>
      </w:pPr>
    </w:p>
    <w:p w:rsidR="00997165" w:rsidRPr="00997165" w:rsidRDefault="00997165" w:rsidP="00997165">
      <w:pPr>
        <w:pStyle w:val="1"/>
      </w:pPr>
      <w:r w:rsidRPr="00997165">
        <w:t xml:space="preserve">Глава 24.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:rsidR="00997165" w:rsidRDefault="00997165" w:rsidP="00997165">
      <w:pPr>
        <w:pStyle w:val="1"/>
      </w:pPr>
      <w:r w:rsidRPr="00997165">
        <w:t>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42.13330.2011 (Актуализированная редакция СНиП 2.07.01-89* «Градостроительство. Планировка и застройка го</w:t>
      </w:r>
      <w:r>
        <w:t>родских и сельских поселений»).</w:t>
      </w:r>
    </w:p>
    <w:p w:rsidR="00997165" w:rsidRDefault="00997165" w:rsidP="00997165">
      <w:pPr>
        <w:pStyle w:val="1"/>
      </w:pPr>
      <w:r w:rsidRPr="00997165">
        <w:t xml:space="preserve">Глава 24.1 Расчетные показатели минимально допустимого уровня обеспеченности </w:t>
      </w:r>
      <w:r>
        <w:t>велосипедными дорожками в зонах массового отдыха и озелененных территориях</w:t>
      </w:r>
      <w:r w:rsidRPr="00997165">
        <w:t xml:space="preserve"> максимально допустимого уровня их доступности для населения Коноваловского муниципального образования Балаганского района Иркутской области </w:t>
      </w:r>
    </w:p>
    <w:p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997165" w:rsidRPr="00997165" w:rsidRDefault="00997165" w:rsidP="00997165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997165" w:rsidRPr="00997165" w:rsidRDefault="00997165" w:rsidP="00997165">
      <w:pPr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26" w:name="_Раздел_IV._Объекты"/>
      <w:bookmarkStart w:id="27" w:name="_Раздел_VIII._Объекты"/>
      <w:bookmarkEnd w:id="26"/>
      <w:bookmarkEnd w:id="27"/>
    </w:p>
    <w:sectPr w:rsidR="001428EC" w:rsidRPr="00781FF8" w:rsidSect="00C2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8E" w:rsidRDefault="00A52A8E" w:rsidP="00A260FC">
      <w:pPr>
        <w:spacing w:after="0" w:line="240" w:lineRule="auto"/>
      </w:pPr>
      <w:r>
        <w:separator/>
      </w:r>
    </w:p>
  </w:endnote>
  <w:endnote w:type="continuationSeparator" w:id="0">
    <w:p w:rsidR="00A52A8E" w:rsidRDefault="00A52A8E" w:rsidP="00A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Default="00A260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Default="00A260F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Default="00A260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8E" w:rsidRDefault="00A52A8E" w:rsidP="00A260FC">
      <w:pPr>
        <w:spacing w:after="0" w:line="240" w:lineRule="auto"/>
      </w:pPr>
      <w:r>
        <w:separator/>
      </w:r>
    </w:p>
  </w:footnote>
  <w:footnote w:type="continuationSeparator" w:id="0">
    <w:p w:rsidR="00A52A8E" w:rsidRDefault="00A52A8E" w:rsidP="00A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Default="00A260F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Pr="00A260FC" w:rsidRDefault="00A260FC">
    <w:pPr>
      <w:pStyle w:val="ac"/>
      <w:rPr>
        <w:rFonts w:ascii="Arial" w:hAnsi="Arial" w:cs="Arial"/>
        <w:sz w:val="24"/>
        <w:szCs w:val="24"/>
      </w:rPr>
    </w:pPr>
    <w:r w:rsidRPr="00A260FC">
      <w:rPr>
        <w:rFonts w:ascii="Arial" w:hAnsi="Arial" w:cs="Arial"/>
        <w:sz w:val="24"/>
        <w:szCs w:val="24"/>
      </w:rPr>
      <w:t xml:space="preserve">                                                            </w:t>
    </w:r>
    <w:r>
      <w:rPr>
        <w:rFonts w:ascii="Arial" w:hAnsi="Arial" w:cs="Arial"/>
        <w:sz w:val="24"/>
        <w:szCs w:val="24"/>
      </w:rPr>
      <w:t xml:space="preserve">       </w:t>
    </w:r>
    <w:bookmarkStart w:id="28" w:name="_GoBack"/>
    <w:bookmarkEnd w:id="28"/>
    <w:r w:rsidRPr="00A260FC">
      <w:rPr>
        <w:rFonts w:ascii="Arial" w:hAnsi="Arial" w:cs="Arial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C" w:rsidRDefault="00A260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A4AF9"/>
    <w:rsid w:val="001C2AC7"/>
    <w:rsid w:val="001D1BE1"/>
    <w:rsid w:val="0020456D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C59A1"/>
    <w:rsid w:val="005D3567"/>
    <w:rsid w:val="005F0492"/>
    <w:rsid w:val="005F4C4C"/>
    <w:rsid w:val="00611F8F"/>
    <w:rsid w:val="0063612F"/>
    <w:rsid w:val="00641144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260FC"/>
    <w:rsid w:val="00A52A8E"/>
    <w:rsid w:val="00A80F08"/>
    <w:rsid w:val="00A85E96"/>
    <w:rsid w:val="00A906FC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8286A"/>
    <w:rsid w:val="00BB30FC"/>
    <w:rsid w:val="00BC0278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31231"/>
    <w:rsid w:val="00E4145B"/>
    <w:rsid w:val="00E52784"/>
    <w:rsid w:val="00E63385"/>
    <w:rsid w:val="00E70536"/>
    <w:rsid w:val="00E72EDF"/>
    <w:rsid w:val="00EC31CE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8E0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0F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0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15F-E0F0-4DF2-A505-115E1896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2020-10-09T02:49:00Z</cp:lastPrinted>
  <dcterms:created xsi:type="dcterms:W3CDTF">2019-09-18T01:32:00Z</dcterms:created>
  <dcterms:modified xsi:type="dcterms:W3CDTF">2020-10-15T03:44:00Z</dcterms:modified>
</cp:coreProperties>
</file>